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一、国家标准</w:t>
      </w:r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印刷、书写和绘图用原纸尺寸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147-1997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  耐破度的测定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454-2002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2679.1-2020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  透明度的测定  漫反射法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2679.1-2013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3044-2020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白刚玉、铬刚玉化学分析方法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3044-2007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家用和类似用途电器噪声测试方法  真空吸尘器的特殊要求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家用和类似用途电器噪声测试方法  洗衣机和离心式脱水机的特殊要求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4214.4-2008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家用和类似用途电器噪声测试方法  滚筒式干衣机的特殊要求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4214.7-2012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4688-2020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纸、纸板和纸浆  纤维组成的分析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4688-2002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汽车车身术语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4780-2000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4802.4-2020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织物起毛起球性能的测定  第4部分：随机翻滚法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4802.4-2009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家具表面漆膜理化性能试验  第2部分：耐湿热测定法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4893.2-2005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家具表面漆膜理化性能试验  第3部分：耐干热测定法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4893.3-2005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5097-2020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渗透检测和磁粉检测  观察条件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5097-2005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纸浆  二氯甲烷抽出物的测定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7979-2005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8813-2020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硬质泡沫塑料  压缩性能的测定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8813-2008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9125.2-2020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钢制管法兰连接用紧固件  第2部分：Class系列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9125-2010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10168-2020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挖掘装载机  术语和商业规格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10168-2008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罐头食品分类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10784-2006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12624-2020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手部防护  通用测试方法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12624-2009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12753-2020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输送带用钢丝绳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12753-2008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13087-2020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饲料中异硫氰酸酯的测定方法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13087-1991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16937-2020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司机视野  试验方法和性能准则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16937-2010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17742-2020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中国地震烈度表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17742-2008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18661-2020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金属卤化物灯（钪钠系列）  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18661-2008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20975.37-2020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第37部分：铌含量的测定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21965-2020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  验收及缺陷术语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21965-2008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21983-2020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暖冬等级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21983-2008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消费品安全  风险评估导则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22760-2008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水彩画纸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22830-2008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第1部分：术语导则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24328.1-2009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第2部分：厚度、层积厚度、表观层积紧度和松厚度的测定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24328.2-2009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第3部分：抗张强度、最大力值时伸长率和抗张能量吸收的测定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24328.3-2009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第4部分：湿抗张强度的测定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24328.4-2009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第6部分：吸水时间和吸水能力的测定  篮筐浸没法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24328.6-2009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第7部分：球形耐破度的测定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24328.7-2009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生纸及其制品  第8部分：光学性能的测定  亮度和颜色的测定  D65/10°（室外日光条件）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24328.9-2020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第9部分：湿球形耐破度的测定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24328.10-2020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第10部分：打孔线抗张强度的测定及打孔效率的计算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24328.11-2020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生纸及其制品  第11部分：光学性能的测定  亮度和颜色的测定  C/2°（室内日光条件）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24328.12-2020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卫生纸及其制品  第12部分：光学性能的测定  不透明度的测定  漫反射法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24451-2020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慢回弹软质聚氨酯泡沫塑料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24451-2009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24474.1-2020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乘运质量测量  第1部分：电梯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24474-2009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复印纸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24988-2010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25085.4-2020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道路车辆  汽车电缆  第4部分：交流30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V或直流60 V单芯铝导体电缆的尺寸和要求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26206-2020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注水式足部按摩器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26206-2010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26790.4-2020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工业无线网络WIA规范  第4部分：WIA-FA协议一致性测试规范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26998-2020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职业经理人考试测评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26998-2011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27710-2020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27710-2011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28963-2020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船舶与海上技术  船用厨房烹调设备灭火系统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28963-2012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31009-2020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足部防护  鞋（靴）限量物质要求及测试方法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31008-2014，GB/T 31009-2014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31275-2020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照明设备对人体电磁辐射的评价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31275-2014</w:t>
            </w: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38048.1-2020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表面清洁器具  第1部分：试验材料和设备的通用要求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637.2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物联网  感知控制设备接入  第2部分：数据管理要求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智能仪器仪表的数据描述  定位器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  工业自动化系统工程描述类库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　工业控制异常监测工具技术要求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38848-2020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  过程工业能源管控系统技术要求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识别卡  集成指纹的身份识别卡通用技术要求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38852.1-2020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工业过程测量控制和自动化  系统评估中系统特性的评定  第1部分：术语和基本概念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38852.2-2020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工业过程测量控制和自动化  系统评估中系统特性的评定  第2部分：评估方法学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智能工厂  生产过程控制数据传输协议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业务管理通用要求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课程信息模型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平台数据要求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38859-2020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课程评价指标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学员学习档案技术要求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课程制作流程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课程审核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平台数据接口技术要求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课程共建共享通用要求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干部网络培训  专题班规范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电子工业用二氯硅烷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电子工业用四氯化硅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工业控制网络通用技术要求  有线网络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基于OPC  UA的数字化车间互联网络架构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切割机器人系统通用技术条件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工业环境用移动操作臂复合机器人通用技术条件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工业机器人与生产环境通信架构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分拣机器人通用技术条件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38876-2020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接入网设备测试方法  10Gbit/s以太网无源光网络（10G  EPON）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38890-2020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三自由度并联机器人通用技术条件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民用无人机系统型号命名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民用轻小型无人机系统电磁兼容性要求与试验方法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民用轻小型无人直升机飞行控制系统通用要求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第2部分：低温试验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第3部分：高温试验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第4部分：温度和高度试验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第5部分：冲击试验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第6部分：振动试验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第7部分：湿热试验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第8部分：盐雾试验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38924.9-2020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第9部分：防水性试验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38924.10-2020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民用轻小型无人机系统环境试验方法  第10部分：砂尘试验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民用轻小型无人机系统抗风性要求及试验方法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民用轻小型无人机系统安全性通用要求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公共电信网增强  支持智能环境预警应用的技术要求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38935-2020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光学遥感器在轨成像辐射性能评价方法  可见光-短波红外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38943.1-2020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使用电力驱动的机械及其相关零件和系统的电安全  第1部分：一般要求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38943.2-2020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使用电力驱动的机械及其相关零件和系统的电安全  第2部分：外部动力机器的特定要求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38943.3-2020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土方机械  使用电力驱动的机械及其相关零件和系统的电安全  第3部分：自行式机器的特定要求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凉夏等级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静止气象卫星S-VISSR数据接收系统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行政许可规范化测评指南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海上风电场热带气旋影响评估技术规范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变形铝合金精密锻造  工艺规范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38959-2020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高强度钢强力旋压  工艺规范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钛合金等温锻造  工艺规范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膜片联轴器  试验要求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民用飞机钣金件典型结构要素分类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铜冶炼行业循环经济实践技术指南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增材制造用钼及钼合金粉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增材制造用球形钴铬合金粉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增材制造用硼化钛颗粒增强铝合金粉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增材制造制粉用钛及钛合金棒材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增材制造用铌及铌合金粉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增材制造用钽及钽合金粉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硅材料中氧含量的测试  惰性气体熔融红外法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纳米晶硬质合金棒材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耐火材料  应力应变试验方法（三点弯曲法）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卫生陶瓷  坐便器冲洗噪声试验方法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锆管探伤对比试样人工缺陷尺寸测量方法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烧结金属注射成形材料  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钛及钛合金加工产品外形尺寸检测方法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38983.1-2020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虚拟同步机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38984.1-2020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基于属性的产品信息通用规范  第1部分：原则和方法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陶瓷液体色料性能技术要求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锆及锆合金表面除鳞和清洁方法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硬质合金螺旋孔棒材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损伤容限型钛合金板材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38989-2020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无机结合料稳定类材料单轴压缩弹性模量试验方法（中间段法）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道路用水性环氧树脂乳化沥青混合料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军民通用资源  信息数据对接技术标准总体要求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军民通用资源  语义关系分类与表示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光伏电站有功及无功控制系统的控制策略导则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船舶数字化协同制造技术通用要求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民用轻小型固定翼无人机飞行控制系统通用要求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轻小型多旋翼无人机飞行控制与导航系统通用要求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裁切后办公用纸  边缘质量的测定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双端集成式LED灯  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精油  命名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精油  表征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消费品安全  危害识别导则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39011.1-2020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技术制图活动铅笔  第1部分：分类、尺寸、性能要求和试验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39011.2-2020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技术制图活动铅笔  第2部分：黑铅芯  分类和尺寸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39011.3-2020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技术制图活动铅笔  第3部分：黑铅芯  HB铅芯弯曲强度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消费品安全  风险预警指南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消费品安全  风险控制指南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生姜精油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39015.2-2020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道路车辆  牵引车与半挂车之间机械连接互换性  第2部分：低牵引座半挂牵引车与大容积半挂车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定制家具  通用设计规范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消费品追溯  追溯体系通则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智能照明设备  非主功能模式功率的测量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39019-2020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定制家具  组合组装标识技术要求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绿色产品评价  洗涤用品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智能照明系统  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照明系统和相关设备  术语和定义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书写和记号工具  降低窒息风险的笔套规范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木杆铅笔黑铅芯  分类和直径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有色聚酰亚胺短纤维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循环再利用聚酯（PET）纤维鉴别方法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高强高模聚酰亚胺长丝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纺织机械与附件  罗拉式梳理成网机  术语和定义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39029-2020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生物产品去除重金属功效评价技术规范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酶制剂生理活性评价技术规范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城市公共设施服务  智能路灯基础信息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难燃刨花板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奥氏体-铁素体型双相不锈钢盘条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非公路用旅游观光车辆风险评价方法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冗余动力定位系统冗余设计和试验规程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船舶分段制造完整性要求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39037.2-2020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用于海上滚装船运输的道路车辆的系固点与系固设施布置  通用要求  第2部分：半挂车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船舶与海上技术  液化天然气加注干式快速接头技术要求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39039-2020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高强度钢氢致延迟断裂评价方法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包装用钢质锁扣及护角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钢筋混凝土用碳素钢-纤维增强复合材料复合钢筋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电工钢单片磁性能测试  H线圈法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游乐设施风险评价  危险源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政务服务平台接入规范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行政许可满意度测评指南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政务服务平台基础数据规范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政务服务平台基本功能规范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行政许可事项分类与编码规则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公共资源拍卖中心运行服务规范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跨境电子商务平台商家信用评价规范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科技成果经济价值评估指南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  产品溯源信息管理规范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品牌培育指南  产业集群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电子商务质量信息共享规范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品牌价值评价  展览业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品牌价值评价  日用化学品业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品牌评价  消费者感知测量指南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品牌评价  核心元数据规范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隔热性能的检测和评价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普通照明用有机发光二极管（OLED）面板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新烟碱类农药残留的测定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电阻点焊及凸焊接头的十字拉伸试验方法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电阻点焊、凸焊及缝焊接头的维氏硬度试验方法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39217-2020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化工园区综合评价导则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1" w:leftChars="-25" w:right="-51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2021-02-01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10"/>
        <w:tblW w:w="13865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24"/>
        <w:gridCol w:w="7317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22875-2018</w:t>
            </w:r>
          </w:p>
        </w:tc>
        <w:tc>
          <w:tcPr>
            <w:tcW w:w="73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纸尿裤和卫生巾用高吸收性树脂  《第1号修改单》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22875-2008,</w:t>
            </w:r>
          </w:p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22905-2008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26990-2011</w:t>
            </w:r>
          </w:p>
        </w:tc>
        <w:tc>
          <w:tcPr>
            <w:tcW w:w="73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燃料电池电动汽车  车载氢系统  技术条件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2020-07-21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3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29126-2012</w:t>
            </w:r>
          </w:p>
        </w:tc>
        <w:tc>
          <w:tcPr>
            <w:tcW w:w="7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燃料电池电动汽车  车载氢系统  试验方法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2020-07-21</w:t>
            </w:r>
          </w:p>
        </w:tc>
      </w:tr>
    </w:tbl>
    <w:p>
      <w:pPr>
        <w:spacing w:line="594" w:lineRule="exact"/>
        <w:ind w:firstLine="55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备注：1</w:t>
      </w:r>
      <w:r>
        <w:rPr>
          <w:rFonts w:ascii="仿宋_GB2312" w:hAnsi="黑体" w:eastAsia="仿宋_GB2312"/>
          <w:sz w:val="28"/>
          <w:szCs w:val="28"/>
        </w:rPr>
        <w:t>.GB/T 9125-2010</w:t>
      </w:r>
      <w:r>
        <w:rPr>
          <w:rFonts w:hint="eastAsia" w:ascii="仿宋_GB2312" w:hAnsi="宋体" w:eastAsia="仿宋_GB2312"/>
          <w:sz w:val="28"/>
          <w:szCs w:val="28"/>
        </w:rPr>
        <w:t>已全部被代替完。</w:t>
      </w:r>
    </w:p>
    <w:p>
      <w:pPr>
        <w:spacing w:line="594" w:lineRule="exact"/>
        <w:ind w:firstLine="550" w:firstLineChars="20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4" w:right="1474" w:bottom="1361" w:left="1474" w:header="851" w:footer="1361" w:gutter="0"/>
          <w:cols w:space="0" w:num="1"/>
          <w:docGrid w:type="linesAndChars" w:linePitch="295" w:charSpace="-1228"/>
        </w:sectPr>
      </w:pPr>
      <w:r>
        <w:rPr>
          <w:rFonts w:hint="eastAsia" w:ascii="仿宋_GB2312" w:hAnsi="黑体" w:eastAsia="仿宋_GB2312"/>
          <w:sz w:val="28"/>
          <w:szCs w:val="28"/>
        </w:rPr>
        <w:t xml:space="preserve"> </w:t>
      </w:r>
      <w:r>
        <w:rPr>
          <w:rFonts w:ascii="仿宋_GB2312" w:hAnsi="黑体" w:eastAsia="仿宋_GB2312"/>
          <w:sz w:val="28"/>
          <w:szCs w:val="28"/>
        </w:rPr>
        <w:t xml:space="preserve">     2.2020</w:t>
      </w:r>
      <w:r>
        <w:rPr>
          <w:rFonts w:hint="eastAsia" w:ascii="仿宋_GB2312" w:hAnsi="黑体" w:eastAsia="仿宋_GB2312"/>
          <w:sz w:val="28"/>
          <w:szCs w:val="28"/>
        </w:rPr>
        <w:t>年第4号公告发布的《干牛至》原标准号为</w:t>
      </w:r>
      <w:r>
        <w:rPr>
          <w:rFonts w:ascii="仿宋_GB2312" w:hAnsi="黑体" w:eastAsia="仿宋_GB2312"/>
          <w:sz w:val="28"/>
          <w:szCs w:val="28"/>
        </w:rPr>
        <w:t>GB/T 22302-2019</w:t>
      </w:r>
      <w:r>
        <w:rPr>
          <w:rFonts w:hint="eastAsia" w:ascii="仿宋_GB2312" w:hAnsi="黑体" w:eastAsia="仿宋_GB2312"/>
          <w:sz w:val="28"/>
          <w:szCs w:val="28"/>
        </w:rPr>
        <w:t>，现调整为</w:t>
      </w:r>
      <w:r>
        <w:rPr>
          <w:rFonts w:ascii="仿宋_GB2312" w:hAnsi="黑体" w:eastAsia="仿宋_GB2312"/>
          <w:sz w:val="28"/>
          <w:szCs w:val="28"/>
        </w:rPr>
        <w:t>GB/T 22302-2020</w:t>
      </w:r>
      <w:r>
        <w:rPr>
          <w:rFonts w:hint="eastAsia" w:ascii="仿宋_GB2312" w:hAnsi="黑体" w:eastAsia="仿宋_GB2312"/>
          <w:sz w:val="28"/>
          <w:szCs w:val="28"/>
        </w:rPr>
        <w:t>。</w:t>
      </w:r>
      <w:bookmarkStart w:id="0" w:name="_GoBack"/>
      <w:bookmarkEnd w:id="0"/>
    </w:p>
    <w:p>
      <w:pPr>
        <w:spacing w:line="594" w:lineRule="exact"/>
        <w:ind w:firstLine="638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984" w:right="1474" w:bottom="1361" w:left="1474" w:header="851" w:footer="1361" w:gutter="0"/>
      <w:cols w:space="0" w:num="1"/>
      <w:docGrid w:type="linesAndChars" w:linePitch="28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4"/>
          <w:ind w:left="315" w:leftChars="150" w:right="315" w:rightChars="15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 w:val="1"/>
  <w:bordersDoNotSurroundFooter w:val="1"/>
  <w:documentProtection w:enforcement="0"/>
  <w:defaultTabStop w:val="420"/>
  <w:evenAndOddHeaders w:val="1"/>
  <w:drawingGridHorizontalSpacing w:val="104"/>
  <w:drawingGridVerticalSpacing w:val="14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469AE"/>
    <w:rsid w:val="00155DC5"/>
    <w:rsid w:val="00155DEA"/>
    <w:rsid w:val="001A2993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41CC3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44E80"/>
    <w:rsid w:val="008D137A"/>
    <w:rsid w:val="008D6AB9"/>
    <w:rsid w:val="008E2BAD"/>
    <w:rsid w:val="0092555A"/>
    <w:rsid w:val="00930684"/>
    <w:rsid w:val="00970FD0"/>
    <w:rsid w:val="0097182D"/>
    <w:rsid w:val="00972022"/>
    <w:rsid w:val="00972632"/>
    <w:rsid w:val="00984EBE"/>
    <w:rsid w:val="009E7961"/>
    <w:rsid w:val="009F29E5"/>
    <w:rsid w:val="00A30238"/>
    <w:rsid w:val="00A363FD"/>
    <w:rsid w:val="00A47A93"/>
    <w:rsid w:val="00A6334C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7592"/>
    <w:rsid w:val="00DA6895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D280A"/>
    <w:rsid w:val="00ED4ACE"/>
    <w:rsid w:val="00EE373F"/>
    <w:rsid w:val="00F072A3"/>
    <w:rsid w:val="00F21548"/>
    <w:rsid w:val="00F46ACB"/>
    <w:rsid w:val="00F808A4"/>
    <w:rsid w:val="00F865F5"/>
    <w:rsid w:val="00F975C7"/>
    <w:rsid w:val="00FB4E4D"/>
    <w:rsid w:val="00FC1A26"/>
    <w:rsid w:val="00FF0E72"/>
    <w:rsid w:val="017F6853"/>
    <w:rsid w:val="02A52A57"/>
    <w:rsid w:val="05F56BBA"/>
    <w:rsid w:val="10C202AC"/>
    <w:rsid w:val="10E5009A"/>
    <w:rsid w:val="1659671F"/>
    <w:rsid w:val="1EAD1BF8"/>
    <w:rsid w:val="2D3E3052"/>
    <w:rsid w:val="2E492002"/>
    <w:rsid w:val="35F16AA6"/>
    <w:rsid w:val="37717D31"/>
    <w:rsid w:val="394032FC"/>
    <w:rsid w:val="39943431"/>
    <w:rsid w:val="39C32C44"/>
    <w:rsid w:val="39D7204E"/>
    <w:rsid w:val="3F5D6095"/>
    <w:rsid w:val="4AB1373B"/>
    <w:rsid w:val="4C44287B"/>
    <w:rsid w:val="5144796A"/>
    <w:rsid w:val="57DB109B"/>
    <w:rsid w:val="590C5431"/>
    <w:rsid w:val="62783107"/>
    <w:rsid w:val="6F6E53D3"/>
    <w:rsid w:val="76EA1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1750</Words>
  <Characters>9976</Characters>
  <Lines>83</Lines>
  <Paragraphs>23</Paragraphs>
  <TotalTime>1</TotalTime>
  <ScaleCrop>false</ScaleCrop>
  <LinksUpToDate>false</LinksUpToDate>
  <CharactersWithSpaces>11703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2020-07-22T06:07:00Z</dcterms:created>
  <dc:creator>langlf</dc:creator>
  <cp:lastModifiedBy>sjl</cp:lastModifiedBy>
  <cp:lastPrinted>2020-07-22T02:04:00Z</cp:lastPrinted>
  <dcterms:modified xsi:type="dcterms:W3CDTF">2020-07-22T08:56:13Z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